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proofErr w:type="gramStart"/>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roofErr w:type="gramEnd"/>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proofErr w:type="gramStart"/>
      <w:r w:rsidRPr="00423ACD">
        <w:rPr>
          <w:sz w:val="22"/>
          <w:szCs w:val="22"/>
        </w:rPr>
        <w:t xml:space="preserve">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«30» декабря 2016 г. №04/16),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w:t>
      </w:r>
      <w:proofErr w:type="gramEnd"/>
      <w:r w:rsidRPr="00423ACD">
        <w:rPr>
          <w:color w:val="000000"/>
          <w:sz w:val="22"/>
          <w:szCs w:val="22"/>
        </w:rPr>
        <w:t xml:space="preserve">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w:t>
      </w:r>
      <w:proofErr w:type="gramStart"/>
      <w:r w:rsidR="00426481">
        <w:rPr>
          <w:sz w:val="22"/>
          <w:szCs w:val="22"/>
        </w:rPr>
        <w:t>количестве</w:t>
      </w:r>
      <w:proofErr w:type="gramEnd"/>
      <w:r w:rsidR="00426481">
        <w:rPr>
          <w:sz w:val="22"/>
          <w:szCs w:val="22"/>
        </w:rPr>
        <w:t xml:space="preserve">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w:t>
      </w:r>
      <w:proofErr w:type="gramStart"/>
      <w:r w:rsidR="00F0337C" w:rsidRPr="00AD245E">
        <w:rPr>
          <w:sz w:val="22"/>
          <w:szCs w:val="22"/>
        </w:rPr>
        <w:t xml:space="preserve"> (</w:t>
      </w:r>
      <w:r w:rsidR="00AD7907">
        <w:rPr>
          <w:sz w:val="22"/>
          <w:szCs w:val="22"/>
        </w:rPr>
        <w:t>________________________________</w:t>
      </w:r>
      <w:r w:rsidR="00F0337C" w:rsidRPr="00AD245E">
        <w:rPr>
          <w:sz w:val="22"/>
          <w:szCs w:val="22"/>
        </w:rPr>
        <w:t xml:space="preserve">), </w:t>
      </w:r>
      <w:proofErr w:type="gramEnd"/>
      <w:r w:rsidR="00F0337C" w:rsidRPr="00AD245E">
        <w:rPr>
          <w:sz w:val="22"/>
          <w:szCs w:val="22"/>
        </w:rPr>
        <w:t>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45486" w:rsidRPr="00045486" w:rsidRDefault="00045486" w:rsidP="009A1AA1">
      <w:pPr>
        <w:tabs>
          <w:tab w:val="left" w:pos="142"/>
          <w:tab w:val="left" w:pos="1276"/>
        </w:tabs>
        <w:autoSpaceDE/>
        <w:autoSpaceDN/>
        <w:ind w:firstLine="720"/>
        <w:jc w:val="both"/>
        <w:rPr>
          <w:sz w:val="22"/>
          <w:szCs w:val="22"/>
        </w:rPr>
      </w:pPr>
      <w:r w:rsidRPr="00045486">
        <w:rPr>
          <w:rFonts w:eastAsia="Arial Unicode MS"/>
          <w:sz w:val="22"/>
          <w:szCs w:val="22"/>
        </w:rPr>
        <w:t>2.3.  Цена договора включает в себя общую стоимость всех товаров до склада Заказчика</w:t>
      </w:r>
      <w:r w:rsidRPr="00045486">
        <w:rPr>
          <w:rFonts w:eastAsia="Arial Unicode MS"/>
          <w:i/>
          <w:sz w:val="22"/>
          <w:szCs w:val="22"/>
        </w:rPr>
        <w:t>,</w:t>
      </w:r>
      <w:r w:rsidRPr="00045486">
        <w:rPr>
          <w:rFonts w:eastAsia="Arial Unicode MS"/>
          <w:sz w:val="22"/>
          <w:szCs w:val="22"/>
        </w:rPr>
        <w:t xml:space="preserve"> у</w:t>
      </w:r>
      <w:r w:rsidRPr="00045486">
        <w:rPr>
          <w:rFonts w:eastAsia="Arial Unicode MS"/>
          <w:sz w:val="22"/>
          <w:szCs w:val="22"/>
        </w:rPr>
        <w:t>п</w:t>
      </w:r>
      <w:r w:rsidRPr="00045486">
        <w:rPr>
          <w:rFonts w:eastAsia="Arial Unicode MS"/>
          <w:sz w:val="22"/>
          <w:szCs w:val="22"/>
        </w:rPr>
        <w:t>лачиваемую Заказчиком за полное выполнение Поставщиком своих обязательств по поставке товаров в рамках настоящего договора.</w:t>
      </w:r>
      <w:r w:rsidRPr="00045486">
        <w:rPr>
          <w:sz w:val="22"/>
          <w:szCs w:val="22"/>
        </w:rPr>
        <w:t xml:space="preserve"> Цена договора включает в себя все затраты, издержки и иные расходы Поставщика, связанные с исполнением настоящего договора</w:t>
      </w:r>
      <w:r>
        <w:rPr>
          <w:sz w:val="22"/>
          <w:szCs w:val="22"/>
        </w:rPr>
        <w:t>.</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глашение о расторжении договора. Соглашение о расторжении должно быть рассмотрено Заказчиком в течение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F0337C" w:rsidRPr="00AD245E" w:rsidRDefault="001B0F54" w:rsidP="00F0337C">
      <w:pPr>
        <w:pStyle w:val="ListParagraph1"/>
        <w:ind w:left="0" w:firstLine="720"/>
        <w:jc w:val="both"/>
        <w:rPr>
          <w:sz w:val="22"/>
          <w:szCs w:val="22"/>
        </w:rPr>
      </w:pPr>
      <w:r w:rsidRPr="00F52BBE">
        <w:rPr>
          <w:sz w:val="22"/>
          <w:szCs w:val="22"/>
        </w:rPr>
        <w:t>3.</w:t>
      </w:r>
      <w:r w:rsidR="001E6D55">
        <w:rPr>
          <w:sz w:val="22"/>
          <w:szCs w:val="22"/>
        </w:rPr>
        <w:t>2</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proofErr w:type="gramStart"/>
      <w:r w:rsidR="00F0337C" w:rsidRPr="00AD245E">
        <w:rPr>
          <w:sz w:val="22"/>
          <w:szCs w:val="22"/>
        </w:rPr>
        <w:t>счет-фактуры</w:t>
      </w:r>
      <w:proofErr w:type="spellEnd"/>
      <w:proofErr w:type="gramEnd"/>
      <w:r w:rsidR="008914BE" w:rsidRPr="00AD245E">
        <w:rPr>
          <w:sz w:val="22"/>
          <w:szCs w:val="22"/>
        </w:rPr>
        <w:t>,</w:t>
      </w:r>
      <w:r w:rsidR="0084187E">
        <w:rPr>
          <w:sz w:val="22"/>
          <w:szCs w:val="22"/>
        </w:rPr>
        <w:t xml:space="preserve"> универсальные передаточные документы,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1E6D55">
        <w:rPr>
          <w:sz w:val="22"/>
          <w:szCs w:val="22"/>
        </w:rPr>
        <w:t>3</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 xml:space="preserve">аказчику, указав новые реквизиты расчетного счета. В противном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1E6D55">
        <w:rPr>
          <w:sz w:val="22"/>
          <w:szCs w:val="22"/>
        </w:rPr>
        <w:t>4</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1E6D55" w:rsidP="008E682D">
      <w:pPr>
        <w:pStyle w:val="ListParagraph1"/>
        <w:ind w:left="0" w:firstLine="720"/>
        <w:jc w:val="both"/>
        <w:rPr>
          <w:sz w:val="22"/>
          <w:szCs w:val="22"/>
        </w:rPr>
      </w:pPr>
      <w:r>
        <w:rPr>
          <w:sz w:val="22"/>
          <w:szCs w:val="22"/>
        </w:rPr>
        <w:t>3.5</w:t>
      </w:r>
      <w:r w:rsidR="00F0337C" w:rsidRPr="00AD245E">
        <w:rPr>
          <w:sz w:val="22"/>
          <w:szCs w:val="22"/>
        </w:rPr>
        <w:t xml:space="preserve">. Обязательства </w:t>
      </w:r>
      <w:r w:rsidR="00A54092" w:rsidRPr="00AD245E">
        <w:rPr>
          <w:sz w:val="22"/>
          <w:szCs w:val="22"/>
        </w:rPr>
        <w:t>З</w:t>
      </w:r>
      <w:r w:rsidR="00F0337C" w:rsidRPr="00AD245E">
        <w:rPr>
          <w:sz w:val="22"/>
          <w:szCs w:val="22"/>
        </w:rPr>
        <w:t>аказчика по оплате товара считаются исполненными с момента списания денежных сре</w:t>
      </w:r>
      <w:proofErr w:type="gramStart"/>
      <w:r w:rsidR="00F0337C" w:rsidRPr="00AD245E">
        <w:rPr>
          <w:sz w:val="22"/>
          <w:szCs w:val="22"/>
        </w:rPr>
        <w:t>дств в р</w:t>
      </w:r>
      <w:proofErr w:type="gramEnd"/>
      <w:r w:rsidR="00F0337C" w:rsidRPr="00AD245E">
        <w:rPr>
          <w:sz w:val="22"/>
          <w:szCs w:val="22"/>
        </w:rPr>
        <w:t xml:space="preserve">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 xml:space="preserve">вреждения или порчи во время транспортировки и хранения. </w:t>
      </w:r>
      <w:proofErr w:type="gramStart"/>
      <w:r w:rsidRPr="00AD245E">
        <w:rPr>
          <w:sz w:val="22"/>
          <w:szCs w:val="22"/>
        </w:rPr>
        <w:t>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roofErr w:type="gramEnd"/>
      <w:r w:rsidRPr="00AD245E">
        <w:rPr>
          <w:sz w:val="22"/>
          <w:szCs w:val="22"/>
        </w:rPr>
        <w:t xml:space="preserve"> </w:t>
      </w:r>
      <w:proofErr w:type="gramStart"/>
      <w:r w:rsidRPr="00AD245E">
        <w:rPr>
          <w:sz w:val="22"/>
          <w:szCs w:val="22"/>
        </w:rPr>
        <w:t>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w:t>
      </w:r>
      <w:proofErr w:type="gramEnd"/>
      <w:r w:rsidRPr="00AD245E">
        <w:rPr>
          <w:sz w:val="22"/>
          <w:szCs w:val="22"/>
        </w:rPr>
        <w:t xml:space="preserve">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Default="00E1458C" w:rsidP="00E1458C">
      <w:pPr>
        <w:tabs>
          <w:tab w:val="left" w:pos="-420"/>
          <w:tab w:val="left" w:pos="-79"/>
        </w:tabs>
        <w:adjustRightInd w:val="0"/>
        <w:ind w:left="-79"/>
        <w:jc w:val="both"/>
        <w:rPr>
          <w:sz w:val="22"/>
          <w:szCs w:val="22"/>
        </w:rPr>
      </w:pPr>
      <w:r w:rsidRPr="00AD245E">
        <w:rPr>
          <w:color w:val="000000"/>
          <w:sz w:val="22"/>
          <w:szCs w:val="22"/>
        </w:rPr>
        <w:tab/>
      </w:r>
      <w:r w:rsidRPr="00AD245E">
        <w:rPr>
          <w:color w:val="000000"/>
          <w:sz w:val="22"/>
          <w:szCs w:val="22"/>
        </w:rPr>
        <w:tab/>
      </w:r>
      <w:r w:rsidRPr="0098308C">
        <w:rPr>
          <w:color w:val="000000"/>
          <w:sz w:val="22"/>
          <w:szCs w:val="22"/>
        </w:rPr>
        <w:t xml:space="preserve">5.2. </w:t>
      </w:r>
      <w:r w:rsidR="00755C30" w:rsidRPr="00755C30">
        <w:rPr>
          <w:sz w:val="22"/>
          <w:szCs w:val="22"/>
        </w:rPr>
        <w:t xml:space="preserve">В рамках исполнения настоящего договора поставка товара осуществляется, в течение </w:t>
      </w:r>
      <w:r w:rsidR="00755C30">
        <w:rPr>
          <w:sz w:val="22"/>
          <w:szCs w:val="22"/>
        </w:rPr>
        <w:t>_________</w:t>
      </w:r>
      <w:r w:rsidR="00755C30" w:rsidRPr="00755C30">
        <w:rPr>
          <w:sz w:val="22"/>
          <w:szCs w:val="22"/>
        </w:rPr>
        <w:t xml:space="preserve"> календарных дней с момента </w:t>
      </w:r>
      <w:r w:rsidR="00755C30">
        <w:rPr>
          <w:sz w:val="22"/>
          <w:szCs w:val="22"/>
        </w:rPr>
        <w:t>_______________________.</w:t>
      </w:r>
    </w:p>
    <w:p w:rsidR="00755C30" w:rsidRPr="00755C30" w:rsidRDefault="00755C30" w:rsidP="00755C30">
      <w:pPr>
        <w:pStyle w:val="ListParagraph1"/>
        <w:tabs>
          <w:tab w:val="num" w:pos="720"/>
          <w:tab w:val="left" w:pos="1404"/>
          <w:tab w:val="left" w:pos="1620"/>
        </w:tabs>
        <w:ind w:left="0" w:firstLine="720"/>
        <w:jc w:val="both"/>
        <w:rPr>
          <w:sz w:val="22"/>
          <w:szCs w:val="22"/>
        </w:rPr>
      </w:pPr>
      <w:r w:rsidRPr="00755C30">
        <w:rPr>
          <w:sz w:val="22"/>
          <w:szCs w:val="22"/>
        </w:rPr>
        <w:lastRenderedPageBreak/>
        <w:t>5.</w:t>
      </w:r>
      <w:r w:rsidR="002106CC">
        <w:rPr>
          <w:sz w:val="22"/>
          <w:szCs w:val="22"/>
        </w:rPr>
        <w:t>3</w:t>
      </w:r>
      <w:r w:rsidRPr="00755C30">
        <w:rPr>
          <w:sz w:val="22"/>
          <w:szCs w:val="22"/>
        </w:rPr>
        <w:t>. Поставщик несет расходы по оплате транспортировки, налогов, пошлин и сборов до п</w:t>
      </w:r>
      <w:r w:rsidRPr="00755C30">
        <w:rPr>
          <w:sz w:val="22"/>
          <w:szCs w:val="22"/>
        </w:rPr>
        <w:t>е</w:t>
      </w:r>
      <w:r w:rsidRPr="00755C30">
        <w:rPr>
          <w:sz w:val="22"/>
          <w:szCs w:val="22"/>
        </w:rPr>
        <w:t>редачи товара Заказчику.</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w:t>
      </w:r>
      <w:r w:rsidR="002106CC">
        <w:rPr>
          <w:sz w:val="22"/>
          <w:szCs w:val="22"/>
        </w:rPr>
        <w:t>4</w:t>
      </w:r>
      <w:r w:rsidR="00F0337C" w:rsidRPr="0098308C">
        <w:rPr>
          <w:sz w:val="22"/>
          <w:szCs w:val="22"/>
        </w:rPr>
        <w:t>. Место поставки товара:</w:t>
      </w:r>
      <w:r w:rsidR="000973D5" w:rsidRPr="0098308C">
        <w:rPr>
          <w:sz w:val="22"/>
          <w:szCs w:val="22"/>
        </w:rPr>
        <w:t xml:space="preserve"> </w:t>
      </w:r>
      <w:proofErr w:type="gramStart"/>
      <w:r w:rsidR="000973D5" w:rsidRPr="0098308C">
        <w:rPr>
          <w:sz w:val="22"/>
          <w:szCs w:val="22"/>
        </w:rPr>
        <w:t>г</w:t>
      </w:r>
      <w:proofErr w:type="gramEnd"/>
      <w:r w:rsidR="000973D5" w:rsidRPr="0098308C">
        <w:rPr>
          <w:sz w:val="22"/>
          <w:szCs w:val="22"/>
        </w:rPr>
        <w:t>.</w:t>
      </w:r>
      <w:r w:rsidR="00755C30">
        <w:rPr>
          <w:sz w:val="22"/>
          <w:szCs w:val="22"/>
        </w:rPr>
        <w:t xml:space="preserve"> </w:t>
      </w:r>
      <w:r w:rsidR="000973D5" w:rsidRPr="0098308C">
        <w:rPr>
          <w:sz w:val="22"/>
          <w:szCs w:val="22"/>
        </w:rPr>
        <w:t xml:space="preserve">Омск, </w:t>
      </w:r>
      <w:r w:rsidR="00755C30">
        <w:rPr>
          <w:sz w:val="22"/>
          <w:szCs w:val="22"/>
        </w:rPr>
        <w:t>пр. Мира 5 «б».</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C04458"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6.3. </w:t>
      </w:r>
      <w:r w:rsidR="00BD5A9A">
        <w:rPr>
          <w:sz w:val="22"/>
          <w:szCs w:val="22"/>
        </w:rPr>
        <w:t>Гарантийный срок на продукцию</w:t>
      </w:r>
      <w:r w:rsidR="00784928">
        <w:rPr>
          <w:sz w:val="22"/>
          <w:szCs w:val="22"/>
        </w:rPr>
        <w:t>:</w:t>
      </w:r>
      <w:r w:rsidR="00BD5A9A">
        <w:rPr>
          <w:sz w:val="22"/>
          <w:szCs w:val="22"/>
        </w:rPr>
        <w:t xml:space="preserve"> </w:t>
      </w:r>
      <w:r w:rsidR="00C04458" w:rsidRPr="00C04458">
        <w:rPr>
          <w:sz w:val="22"/>
          <w:szCs w:val="22"/>
        </w:rPr>
        <w:t>не меньше гарантийного срока, предоставляемого Пр</w:t>
      </w:r>
      <w:r w:rsidR="00C04458" w:rsidRPr="00C04458">
        <w:rPr>
          <w:sz w:val="22"/>
          <w:szCs w:val="22"/>
        </w:rPr>
        <w:t>о</w:t>
      </w:r>
      <w:r w:rsidR="00C04458" w:rsidRPr="00C04458">
        <w:rPr>
          <w:sz w:val="22"/>
          <w:szCs w:val="22"/>
        </w:rPr>
        <w:t>изводителем продукции, но не менее 1 (одного) года</w:t>
      </w:r>
      <w:r w:rsidR="00784928">
        <w:rPr>
          <w:sz w:val="22"/>
          <w:szCs w:val="22"/>
        </w:rPr>
        <w:t>;</w:t>
      </w:r>
      <w:r w:rsidR="00C04458" w:rsidRPr="00C04458">
        <w:rPr>
          <w:sz w:val="22"/>
          <w:szCs w:val="22"/>
        </w:rPr>
        <w:t xml:space="preserve"> для системных блоков ПК не менее 3 (трех) лет</w:t>
      </w:r>
      <w:r w:rsidR="00AD6D36">
        <w:rPr>
          <w:sz w:val="22"/>
          <w:szCs w:val="22"/>
        </w:rPr>
        <w:t>.</w:t>
      </w:r>
      <w:r w:rsidRPr="00AD245E">
        <w:rPr>
          <w:sz w:val="22"/>
          <w:szCs w:val="22"/>
        </w:rPr>
        <w:t xml:space="preserve"> </w:t>
      </w:r>
      <w:r w:rsidR="00C04458" w:rsidRPr="00C04458">
        <w:rPr>
          <w:sz w:val="22"/>
          <w:szCs w:val="22"/>
        </w:rPr>
        <w:t>Гарантийный срок на продукцию исчисляется с момента фактического получения продукции Пок</w:t>
      </w:r>
      <w:r w:rsidR="00C04458" w:rsidRPr="00C04458">
        <w:rPr>
          <w:sz w:val="22"/>
          <w:szCs w:val="22"/>
        </w:rPr>
        <w:t>у</w:t>
      </w:r>
      <w:r w:rsidR="00C04458" w:rsidRPr="00C04458">
        <w:rPr>
          <w:sz w:val="22"/>
          <w:szCs w:val="22"/>
        </w:rPr>
        <w:t>пателем.</w:t>
      </w:r>
      <w:r w:rsidR="00C04458">
        <w:rPr>
          <w:sz w:val="22"/>
          <w:szCs w:val="22"/>
        </w:rPr>
        <w:t xml:space="preserve"> </w:t>
      </w:r>
    </w:p>
    <w:p w:rsidR="00AD245E" w:rsidRPr="00AD245E" w:rsidRDefault="00C04458" w:rsidP="00AD245E">
      <w:pPr>
        <w:pStyle w:val="ListParagraph1"/>
        <w:tabs>
          <w:tab w:val="num" w:pos="720"/>
          <w:tab w:val="left" w:pos="1404"/>
          <w:tab w:val="left" w:pos="1620"/>
        </w:tabs>
        <w:ind w:left="0" w:firstLine="720"/>
        <w:jc w:val="both"/>
        <w:rPr>
          <w:sz w:val="22"/>
          <w:szCs w:val="22"/>
        </w:rPr>
      </w:pPr>
      <w:r>
        <w:rPr>
          <w:sz w:val="22"/>
          <w:szCs w:val="22"/>
        </w:rPr>
        <w:t xml:space="preserve">6.4. </w:t>
      </w:r>
      <w:r w:rsidR="00AD245E" w:rsidRPr="00AD245E">
        <w:rPr>
          <w:sz w:val="22"/>
          <w:szCs w:val="22"/>
        </w:rPr>
        <w:t>Если в процессе эксплуатации товара в течение гарантийного срока обнаружатся недо</w:t>
      </w:r>
      <w:r w:rsidR="00AD245E" w:rsidRPr="00AD245E">
        <w:rPr>
          <w:sz w:val="22"/>
          <w:szCs w:val="22"/>
        </w:rPr>
        <w:t>с</w:t>
      </w:r>
      <w:r w:rsidR="00AD245E" w:rsidRPr="00AD245E">
        <w:rPr>
          <w:sz w:val="22"/>
          <w:szCs w:val="22"/>
        </w:rPr>
        <w:t>татки товара, то они подлежат устранению силами и средствами Поставщика или указанным П</w:t>
      </w:r>
      <w:r w:rsidR="00AD245E" w:rsidRPr="00AD245E">
        <w:rPr>
          <w:sz w:val="22"/>
          <w:szCs w:val="22"/>
        </w:rPr>
        <w:t>о</w:t>
      </w:r>
      <w:r w:rsidR="00AD245E" w:rsidRPr="00AD245E">
        <w:rPr>
          <w:sz w:val="22"/>
          <w:szCs w:val="22"/>
        </w:rPr>
        <w:t>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8.1.4. Определять уполномоченных лиц, непосредственно участвующих в </w:t>
      </w:r>
      <w:proofErr w:type="gramStart"/>
      <w:r w:rsidRPr="00AD245E">
        <w:rPr>
          <w:sz w:val="22"/>
          <w:szCs w:val="22"/>
        </w:rPr>
        <w:t>контроле за</w:t>
      </w:r>
      <w:proofErr w:type="gramEnd"/>
      <w:r w:rsidRPr="00AD245E">
        <w:rPr>
          <w:sz w:val="22"/>
          <w:szCs w:val="22"/>
        </w:rPr>
        <w:t xml:space="preserve">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lastRenderedPageBreak/>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w:t>
      </w:r>
      <w:proofErr w:type="gramStart"/>
      <w:r w:rsidR="00F0337C" w:rsidRPr="00AD245E">
        <w:rPr>
          <w:rFonts w:eastAsia="Arial Unicode MS"/>
          <w:sz w:val="22"/>
          <w:szCs w:val="22"/>
        </w:rPr>
        <w:t xml:space="preserve">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w:t>
      </w:r>
      <w:proofErr w:type="gramEnd"/>
      <w:r w:rsidR="00F0337C" w:rsidRPr="00AD245E">
        <w:rPr>
          <w:rFonts w:eastAsia="Arial Unicode MS"/>
          <w:sz w:val="22"/>
          <w:szCs w:val="22"/>
        </w:rPr>
        <w:t xml:space="preserve">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lastRenderedPageBreak/>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 xml:space="preserve">.2017г.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 xml:space="preserve">Ф-Л БАНКА ГПБ (АО) </w:t>
                  </w:r>
                  <w:r w:rsidR="00702624">
                    <w:rPr>
                      <w:sz w:val="22"/>
                      <w:szCs w:val="22"/>
                    </w:rPr>
                    <w:t>«Западно-Сибирский»</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proofErr w:type="gramStart"/>
                  <w:r w:rsidRPr="00423ACD">
                    <w:rPr>
                      <w:sz w:val="22"/>
                      <w:szCs w:val="22"/>
                    </w:rPr>
                    <w:t>Р</w:t>
                  </w:r>
                  <w:proofErr w:type="gramEnd"/>
                  <w:r w:rsidRPr="00423ACD">
                    <w:rPr>
                      <w:sz w:val="22"/>
                      <w:szCs w:val="22"/>
                    </w:rPr>
                    <w:t>/с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r w:rsidR="001E606C">
                    <w:rPr>
                      <w:b/>
                      <w:sz w:val="22"/>
                      <w:szCs w:val="22"/>
                    </w:rPr>
                    <w:t>:</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9F7814"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9F7814">
        <w:rPr>
          <w:sz w:val="22"/>
          <w:szCs w:val="22"/>
        </w:rPr>
        <w:t>компьютерного оборудования</w:t>
      </w:r>
    </w:p>
    <w:p w:rsidR="009F7814" w:rsidRDefault="009F7814" w:rsidP="00625FF0">
      <w:pPr>
        <w:jc w:val="center"/>
        <w:outlineLvl w:val="0"/>
        <w:rPr>
          <w:sz w:val="22"/>
          <w:szCs w:val="22"/>
        </w:rPr>
      </w:pPr>
    </w:p>
    <w:tbl>
      <w:tblPr>
        <w:tblW w:w="9678" w:type="dxa"/>
        <w:tblInd w:w="211" w:type="dxa"/>
        <w:tblLook w:val="04A0"/>
      </w:tblPr>
      <w:tblGrid>
        <w:gridCol w:w="720"/>
        <w:gridCol w:w="4280"/>
        <w:gridCol w:w="969"/>
        <w:gridCol w:w="1386"/>
        <w:gridCol w:w="1189"/>
        <w:gridCol w:w="1134"/>
      </w:tblGrid>
      <w:tr w:rsidR="003B4981" w:rsidRPr="003B4981" w:rsidTr="003B498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 xml:space="preserve">№ </w:t>
            </w:r>
            <w:proofErr w:type="spellStart"/>
            <w:proofErr w:type="gramStart"/>
            <w:r w:rsidRPr="003B4981">
              <w:rPr>
                <w:b/>
                <w:bCs/>
                <w:color w:val="000000"/>
              </w:rPr>
              <w:t>п</w:t>
            </w:r>
            <w:proofErr w:type="spellEnd"/>
            <w:proofErr w:type="gramEnd"/>
            <w:r w:rsidRPr="003B4981">
              <w:rPr>
                <w:b/>
                <w:bCs/>
                <w:color w:val="000000"/>
              </w:rPr>
              <w:t>/</w:t>
            </w:r>
            <w:proofErr w:type="spellStart"/>
            <w:r w:rsidRPr="003B4981">
              <w:rPr>
                <w:b/>
                <w:bCs/>
                <w:color w:val="000000"/>
              </w:rPr>
              <w:t>п</w:t>
            </w:r>
            <w:proofErr w:type="spellEnd"/>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Наименование товара</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3B4981">
            <w:pPr>
              <w:jc w:val="center"/>
              <w:rPr>
                <w:b/>
                <w:bCs/>
                <w:color w:val="000000"/>
              </w:rPr>
            </w:pPr>
            <w:r w:rsidRPr="003B4981">
              <w:rPr>
                <w:b/>
                <w:bCs/>
                <w:color w:val="000000"/>
              </w:rPr>
              <w:t>Кол-во, шт.</w:t>
            </w:r>
          </w:p>
        </w:tc>
        <w:tc>
          <w:tcPr>
            <w:tcW w:w="1386"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Стоимость</w:t>
            </w:r>
            <w:r w:rsidRPr="003B4981">
              <w:rPr>
                <w:b/>
                <w:bCs/>
                <w:color w:val="000000"/>
              </w:rPr>
              <w:t>,</w:t>
            </w:r>
          </w:p>
          <w:p w:rsidR="003B4981" w:rsidRDefault="003B4981" w:rsidP="003B4981">
            <w:pPr>
              <w:jc w:val="center"/>
              <w:rPr>
                <w:b/>
                <w:bCs/>
                <w:color w:val="000000"/>
              </w:rPr>
            </w:pPr>
            <w:r>
              <w:rPr>
                <w:b/>
                <w:bCs/>
                <w:color w:val="000000"/>
              </w:rPr>
              <w:t>за единицу</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89"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 xml:space="preserve">с </w:t>
            </w:r>
            <w:r w:rsidRPr="003B4981">
              <w:rPr>
                <w:b/>
                <w:bCs/>
                <w:color w:val="000000"/>
              </w:rPr>
              <w:t>НДС (руб.)</w:t>
            </w:r>
          </w:p>
        </w:tc>
      </w:tr>
      <w:tr w:rsidR="00702624" w:rsidRPr="001C2046"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r w:rsidRPr="003B4981">
              <w:rPr>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702624" w:rsidRPr="00331253" w:rsidRDefault="00702624" w:rsidP="00A31070">
            <w:pPr>
              <w:keepNext/>
              <w:keepLines/>
              <w:suppressAutoHyphens/>
              <w:rPr>
                <w:szCs w:val="24"/>
                <w:lang w:eastAsia="zh-CN"/>
              </w:rPr>
            </w:pPr>
            <w:r w:rsidRPr="00331253">
              <w:rPr>
                <w:szCs w:val="24"/>
                <w:lang w:eastAsia="zh-CN"/>
              </w:rPr>
              <w:t xml:space="preserve">Блок питания 450W ATX </w:t>
            </w:r>
            <w:proofErr w:type="spellStart"/>
            <w:r w:rsidRPr="00331253">
              <w:rPr>
                <w:szCs w:val="24"/>
                <w:lang w:eastAsia="zh-CN"/>
              </w:rPr>
              <w:t>Corsair</w:t>
            </w:r>
            <w:proofErr w:type="spellEnd"/>
            <w:r w:rsidRPr="00331253">
              <w:rPr>
                <w:szCs w:val="24"/>
                <w:lang w:eastAsia="zh-CN"/>
              </w:rPr>
              <w:t xml:space="preserve"> VS450</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3B4981" w:rsidTr="003B4981">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r w:rsidRPr="003B4981">
              <w:rPr>
                <w:color w:val="000000"/>
              </w:rPr>
              <w:t>2</w:t>
            </w:r>
          </w:p>
        </w:tc>
        <w:tc>
          <w:tcPr>
            <w:tcW w:w="4280" w:type="dxa"/>
            <w:tcBorders>
              <w:top w:val="nil"/>
              <w:left w:val="nil"/>
              <w:bottom w:val="single" w:sz="4" w:space="0" w:color="auto"/>
              <w:right w:val="single" w:sz="4" w:space="0" w:color="auto"/>
            </w:tcBorders>
            <w:shd w:val="clear" w:color="auto" w:fill="auto"/>
            <w:vAlign w:val="center"/>
            <w:hideMark/>
          </w:tcPr>
          <w:p w:rsidR="00702624" w:rsidRPr="00331253" w:rsidRDefault="00702624" w:rsidP="00A31070">
            <w:pPr>
              <w:pStyle w:val="ConsNonformat"/>
              <w:rPr>
                <w:rFonts w:ascii="Verdana" w:hAnsi="Verdana"/>
                <w:b/>
                <w:color w:val="000000"/>
                <w:lang w:val="en-US"/>
              </w:rPr>
            </w:pPr>
            <w:r w:rsidRPr="00331253">
              <w:rPr>
                <w:rFonts w:ascii="Times New Roman" w:hAnsi="Times New Roman"/>
                <w:snapToGrid w:val="0"/>
                <w:szCs w:val="24"/>
                <w:lang w:eastAsia="zh-CN"/>
              </w:rPr>
              <w:t>Привод</w:t>
            </w:r>
            <w:r w:rsidRPr="00702624">
              <w:rPr>
                <w:rFonts w:ascii="Times New Roman" w:hAnsi="Times New Roman"/>
                <w:snapToGrid w:val="0"/>
                <w:szCs w:val="24"/>
                <w:lang w:val="en-US" w:eastAsia="zh-CN"/>
              </w:rPr>
              <w:t xml:space="preserve"> DVD-RW ASUS DRW-24D5MT</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p>
        </w:tc>
      </w:tr>
      <w:tr w:rsidR="00702624"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r w:rsidRPr="003B4981">
              <w:rPr>
                <w:color w:val="000000"/>
              </w:rPr>
              <w:t>3</w:t>
            </w:r>
          </w:p>
        </w:tc>
        <w:tc>
          <w:tcPr>
            <w:tcW w:w="4280" w:type="dxa"/>
            <w:tcBorders>
              <w:top w:val="nil"/>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r w:rsidRPr="00331253">
              <w:rPr>
                <w:rFonts w:ascii="Times New Roman" w:hAnsi="Times New Roman"/>
                <w:snapToGrid w:val="0"/>
                <w:szCs w:val="24"/>
                <w:lang w:eastAsia="zh-CN"/>
              </w:rPr>
              <w:t>Жесткий</w:t>
            </w:r>
            <w:r w:rsidRPr="00702624">
              <w:rPr>
                <w:rFonts w:ascii="Times New Roman" w:hAnsi="Times New Roman"/>
                <w:snapToGrid w:val="0"/>
                <w:szCs w:val="24"/>
                <w:lang w:val="en-US" w:eastAsia="zh-CN"/>
              </w:rPr>
              <w:t xml:space="preserve"> </w:t>
            </w:r>
            <w:r w:rsidRPr="00331253">
              <w:rPr>
                <w:rFonts w:ascii="Times New Roman" w:hAnsi="Times New Roman"/>
                <w:snapToGrid w:val="0"/>
                <w:szCs w:val="24"/>
                <w:lang w:eastAsia="zh-CN"/>
              </w:rPr>
              <w:t>диск</w:t>
            </w:r>
            <w:r w:rsidRPr="00702624">
              <w:rPr>
                <w:rFonts w:ascii="Times New Roman" w:hAnsi="Times New Roman"/>
                <w:snapToGrid w:val="0"/>
                <w:szCs w:val="24"/>
                <w:lang w:val="en-US" w:eastAsia="zh-CN"/>
              </w:rPr>
              <w:t xml:space="preserve"> Western Digital 1Tb Blue 7200rpm, 64Mb</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p>
        </w:tc>
      </w:tr>
      <w:tr w:rsidR="00702624" w:rsidRPr="003B4981" w:rsidTr="00702624">
        <w:trPr>
          <w:trHeight w:val="39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r w:rsidRPr="003B4981">
              <w:rPr>
                <w:color w:val="000000"/>
              </w:rPr>
              <w:t>4</w:t>
            </w:r>
          </w:p>
        </w:tc>
        <w:tc>
          <w:tcPr>
            <w:tcW w:w="4280" w:type="dxa"/>
            <w:tcBorders>
              <w:top w:val="nil"/>
              <w:left w:val="nil"/>
              <w:bottom w:val="single" w:sz="4" w:space="0" w:color="auto"/>
              <w:right w:val="single" w:sz="4" w:space="0" w:color="auto"/>
            </w:tcBorders>
            <w:shd w:val="clear" w:color="auto" w:fill="auto"/>
            <w:vAlign w:val="center"/>
            <w:hideMark/>
          </w:tcPr>
          <w:p w:rsidR="00702624" w:rsidRPr="00331253" w:rsidRDefault="00702624" w:rsidP="00A31070">
            <w:pPr>
              <w:pStyle w:val="ConsNonformat"/>
              <w:rPr>
                <w:rFonts w:ascii="Times New Roman" w:hAnsi="Times New Roman"/>
                <w:snapToGrid w:val="0"/>
                <w:szCs w:val="24"/>
                <w:lang w:eastAsia="zh-CN"/>
              </w:rPr>
            </w:pPr>
            <w:r w:rsidRPr="00331253">
              <w:rPr>
                <w:rFonts w:ascii="Times New Roman" w:hAnsi="Times New Roman"/>
                <w:snapToGrid w:val="0"/>
                <w:szCs w:val="24"/>
                <w:lang w:eastAsia="zh-CN"/>
              </w:rPr>
              <w:t>Клавиатура</w:t>
            </w:r>
            <w:r>
              <w:rPr>
                <w:rFonts w:ascii="Times New Roman" w:hAnsi="Times New Roman"/>
                <w:snapToGrid w:val="0"/>
                <w:szCs w:val="24"/>
                <w:lang w:eastAsia="zh-CN"/>
              </w:rPr>
              <w:t xml:space="preserve">, </w:t>
            </w:r>
            <w:r w:rsidRPr="00331253">
              <w:rPr>
                <w:rFonts w:ascii="Times New Roman" w:hAnsi="Times New Roman"/>
                <w:snapToGrid w:val="0"/>
                <w:szCs w:val="24"/>
                <w:lang w:eastAsia="zh-CN"/>
              </w:rPr>
              <w:t xml:space="preserve">мышь </w:t>
            </w:r>
            <w:proofErr w:type="spellStart"/>
            <w:r w:rsidRPr="00331253">
              <w:rPr>
                <w:rFonts w:ascii="Times New Roman" w:hAnsi="Times New Roman"/>
                <w:snapToGrid w:val="0"/>
                <w:szCs w:val="24"/>
                <w:lang w:eastAsia="zh-CN"/>
              </w:rPr>
              <w:t>Logitech</w:t>
            </w:r>
            <w:proofErr w:type="spellEnd"/>
            <w:r w:rsidRPr="00331253">
              <w:rPr>
                <w:rFonts w:ascii="Times New Roman" w:hAnsi="Times New Roman"/>
                <w:snapToGrid w:val="0"/>
                <w:szCs w:val="24"/>
                <w:lang w:eastAsia="zh-CN"/>
              </w:rPr>
              <w:t xml:space="preserve"> MK120,USB</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702624" w:rsidRPr="003B4981" w:rsidRDefault="00702624"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3B4981" w:rsidRDefault="00702624" w:rsidP="00FA073A">
            <w:pPr>
              <w:jc w:val="center"/>
              <w:rPr>
                <w:color w:val="000000"/>
              </w:rPr>
            </w:pPr>
            <w:r w:rsidRPr="003B4981">
              <w:rPr>
                <w:color w:val="000000"/>
              </w:rPr>
              <w:t>5</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r w:rsidRPr="00331253">
              <w:rPr>
                <w:rFonts w:ascii="Times New Roman" w:hAnsi="Times New Roman"/>
                <w:snapToGrid w:val="0"/>
                <w:szCs w:val="24"/>
                <w:lang w:eastAsia="zh-CN"/>
              </w:rPr>
              <w:t>Корпус</w:t>
            </w:r>
            <w:r w:rsidRPr="00702624">
              <w:rPr>
                <w:rFonts w:ascii="Times New Roman" w:hAnsi="Times New Roman"/>
                <w:snapToGrid w:val="0"/>
                <w:szCs w:val="24"/>
                <w:lang w:val="en-US" w:eastAsia="zh-CN"/>
              </w:rPr>
              <w:t xml:space="preserve"> </w:t>
            </w:r>
            <w:proofErr w:type="spellStart"/>
            <w:r w:rsidRPr="00702624">
              <w:rPr>
                <w:rFonts w:ascii="Times New Roman" w:hAnsi="Times New Roman"/>
                <w:snapToGrid w:val="0"/>
                <w:szCs w:val="24"/>
                <w:lang w:val="en-US" w:eastAsia="zh-CN"/>
              </w:rPr>
              <w:t>Zalman</w:t>
            </w:r>
            <w:proofErr w:type="spellEnd"/>
            <w:r w:rsidRPr="00702624">
              <w:rPr>
                <w:rFonts w:ascii="Times New Roman" w:hAnsi="Times New Roman"/>
                <w:snapToGrid w:val="0"/>
                <w:szCs w:val="24"/>
                <w:lang w:val="en-US" w:eastAsia="zh-CN"/>
              </w:rPr>
              <w:t xml:space="preserve"> ZM-T1 Plus</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r>
              <w:rPr>
                <w:color w:val="000000"/>
                <w:lang w:val="en-US"/>
              </w:rPr>
              <w:t>6</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keepNext/>
              <w:keepLines/>
              <w:suppressAutoHyphens/>
              <w:rPr>
                <w:szCs w:val="24"/>
                <w:lang w:val="en-US" w:eastAsia="zh-CN"/>
              </w:rPr>
            </w:pPr>
            <w:r w:rsidRPr="00702624">
              <w:rPr>
                <w:szCs w:val="24"/>
                <w:lang w:val="en-US" w:eastAsia="zh-CN"/>
              </w:rPr>
              <w:t>GIGABYTE GA-H110M-S2PV (rev. 1.0)</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r>
              <w:rPr>
                <w:color w:val="000000"/>
                <w:lang w:val="en-US"/>
              </w:rPr>
              <w:t>7</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331253" w:rsidRDefault="00702624" w:rsidP="00A31070">
            <w:pPr>
              <w:keepNext/>
              <w:keepLines/>
              <w:suppressAutoHyphens/>
              <w:rPr>
                <w:szCs w:val="24"/>
                <w:lang w:eastAsia="zh-CN"/>
              </w:rPr>
            </w:pPr>
            <w:r w:rsidRPr="00331253">
              <w:rPr>
                <w:szCs w:val="24"/>
                <w:lang w:eastAsia="zh-CN"/>
              </w:rPr>
              <w:t>Монитор 23.8" DELL SE2416H IPS</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r>
              <w:rPr>
                <w:color w:val="000000"/>
                <w:lang w:val="en-US"/>
              </w:rPr>
              <w:t>8</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keepNext/>
              <w:keepLines/>
              <w:suppressAutoHyphens/>
              <w:rPr>
                <w:szCs w:val="24"/>
                <w:lang w:val="en-US" w:eastAsia="zh-CN"/>
              </w:rPr>
            </w:pPr>
            <w:r w:rsidRPr="00331253">
              <w:rPr>
                <w:szCs w:val="24"/>
                <w:lang w:eastAsia="zh-CN"/>
              </w:rPr>
              <w:t>ПО</w:t>
            </w:r>
            <w:r w:rsidRPr="00702624">
              <w:rPr>
                <w:szCs w:val="24"/>
                <w:lang w:val="en-US" w:eastAsia="zh-CN"/>
              </w:rPr>
              <w:t xml:space="preserve"> Microsoft Windows 7 SP1 Professional 64-bit Russian Single </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r>
              <w:rPr>
                <w:color w:val="000000"/>
                <w:lang w:val="en-US"/>
              </w:rPr>
              <w:t>9</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r w:rsidRPr="00F2510B">
              <w:rPr>
                <w:rFonts w:ascii="Times New Roman" w:hAnsi="Times New Roman"/>
                <w:snapToGrid w:val="0"/>
                <w:szCs w:val="24"/>
                <w:lang w:eastAsia="zh-CN"/>
              </w:rPr>
              <w:t>Память</w:t>
            </w:r>
            <w:r w:rsidRPr="00702624">
              <w:rPr>
                <w:rFonts w:ascii="Times New Roman" w:hAnsi="Times New Roman"/>
                <w:snapToGrid w:val="0"/>
                <w:szCs w:val="24"/>
                <w:lang w:val="en-US" w:eastAsia="zh-CN"/>
              </w:rPr>
              <w:t xml:space="preserve"> DDR4 DIMM 4Gb 2400MHz CL15 1.2V Kingston </w:t>
            </w:r>
            <w:proofErr w:type="spellStart"/>
            <w:r w:rsidRPr="00702624">
              <w:rPr>
                <w:rFonts w:ascii="Times New Roman" w:hAnsi="Times New Roman"/>
                <w:snapToGrid w:val="0"/>
                <w:szCs w:val="24"/>
                <w:lang w:val="en-US" w:eastAsia="zh-CN"/>
              </w:rPr>
              <w:t>HyperX</w:t>
            </w:r>
            <w:proofErr w:type="spellEnd"/>
            <w:r w:rsidRPr="00702624">
              <w:rPr>
                <w:rFonts w:ascii="Times New Roman" w:hAnsi="Times New Roman"/>
                <w:snapToGrid w:val="0"/>
                <w:szCs w:val="24"/>
                <w:lang w:val="en-US" w:eastAsia="zh-CN"/>
              </w:rPr>
              <w:t xml:space="preserve"> Fury</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702624"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702624" w:rsidRDefault="00702624" w:rsidP="00FA073A">
            <w:pPr>
              <w:jc w:val="center"/>
              <w:rPr>
                <w:color w:val="000000"/>
              </w:rPr>
            </w:pPr>
            <w:r>
              <w:rPr>
                <w:color w:val="000000"/>
              </w:rPr>
              <w:t>10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r w:rsidRPr="00F2510B">
              <w:rPr>
                <w:rFonts w:ascii="Times New Roman" w:hAnsi="Times New Roman"/>
                <w:snapToGrid w:val="0"/>
                <w:szCs w:val="24"/>
                <w:lang w:eastAsia="zh-CN"/>
              </w:rPr>
              <w:t>Процессор</w:t>
            </w:r>
            <w:r w:rsidRPr="00702624">
              <w:rPr>
                <w:rFonts w:ascii="Times New Roman" w:hAnsi="Times New Roman"/>
                <w:snapToGrid w:val="0"/>
                <w:szCs w:val="24"/>
                <w:lang w:val="en-US" w:eastAsia="zh-CN"/>
              </w:rPr>
              <w:t xml:space="preserve"> Intel Core i3-6100 </w:t>
            </w:r>
            <w:proofErr w:type="spellStart"/>
            <w:r w:rsidRPr="00702624">
              <w:rPr>
                <w:rFonts w:ascii="Times New Roman" w:hAnsi="Times New Roman"/>
                <w:snapToGrid w:val="0"/>
                <w:szCs w:val="24"/>
                <w:lang w:val="en-US" w:eastAsia="zh-CN"/>
              </w:rPr>
              <w:t>Skylake</w:t>
            </w:r>
            <w:proofErr w:type="spellEnd"/>
            <w:r w:rsidRPr="00702624">
              <w:rPr>
                <w:rFonts w:ascii="Times New Roman" w:hAnsi="Times New Roman"/>
                <w:snapToGrid w:val="0"/>
                <w:szCs w:val="24"/>
                <w:lang w:val="en-US" w:eastAsia="zh-CN"/>
              </w:rPr>
              <w:t xml:space="preserve"> 3700MHz 3Mb TDP-51W Socket115111</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702624"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702624" w:rsidRDefault="00702624" w:rsidP="00FA073A">
            <w:pPr>
              <w:jc w:val="center"/>
              <w:rPr>
                <w:color w:val="000000"/>
              </w:rPr>
            </w:pPr>
            <w:r>
              <w:rPr>
                <w:color w:val="000000"/>
              </w:rPr>
              <w:t>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hyperlink r:id="rId7" w:history="1">
              <w:proofErr w:type="spellStart"/>
              <w:r w:rsidRPr="00F2510B">
                <w:rPr>
                  <w:rFonts w:ascii="Times New Roman" w:hAnsi="Times New Roman"/>
                  <w:snapToGrid w:val="0"/>
                  <w:szCs w:val="24"/>
                  <w:lang w:eastAsia="zh-CN"/>
                </w:rPr>
                <w:t>Кулер</w:t>
              </w:r>
              <w:proofErr w:type="spellEnd"/>
              <w:r w:rsidRPr="00702624">
                <w:rPr>
                  <w:rFonts w:ascii="Times New Roman" w:hAnsi="Times New Roman"/>
                  <w:snapToGrid w:val="0"/>
                  <w:szCs w:val="24"/>
                  <w:lang w:val="en-US" w:eastAsia="zh-CN"/>
                </w:rPr>
                <w:t xml:space="preserve"> </w:t>
              </w:r>
              <w:proofErr w:type="spellStart"/>
              <w:r w:rsidRPr="00702624">
                <w:rPr>
                  <w:rFonts w:ascii="Times New Roman" w:hAnsi="Times New Roman"/>
                  <w:snapToGrid w:val="0"/>
                  <w:szCs w:val="24"/>
                  <w:lang w:val="en-US" w:eastAsia="zh-CN"/>
                </w:rPr>
                <w:t>CoolerMaster</w:t>
              </w:r>
              <w:proofErr w:type="spellEnd"/>
              <w:r w:rsidRPr="00702624">
                <w:rPr>
                  <w:rFonts w:ascii="Times New Roman" w:hAnsi="Times New Roman"/>
                  <w:snapToGrid w:val="0"/>
                  <w:szCs w:val="24"/>
                  <w:lang w:val="en-US" w:eastAsia="zh-CN"/>
                </w:rPr>
                <w:t xml:space="preserve"> CP6-9HDSA-PL-GP for Socket1156/1150/1151/1155</w:t>
              </w:r>
            </w:hyperlink>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702624"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702624" w:rsidRDefault="00702624" w:rsidP="00FA073A">
            <w:pPr>
              <w:jc w:val="center"/>
              <w:rPr>
                <w:color w:val="000000"/>
              </w:rPr>
            </w:pPr>
            <w:r>
              <w:rPr>
                <w:color w:val="000000"/>
              </w:rPr>
              <w:t>12</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702624" w:rsidRDefault="00702624" w:rsidP="00A31070">
            <w:pPr>
              <w:pStyle w:val="ConsNonformat"/>
              <w:rPr>
                <w:rFonts w:ascii="Times New Roman" w:hAnsi="Times New Roman"/>
                <w:snapToGrid w:val="0"/>
                <w:szCs w:val="24"/>
                <w:lang w:val="en-US" w:eastAsia="zh-CN"/>
              </w:rPr>
            </w:pPr>
            <w:r w:rsidRPr="00F2510B">
              <w:rPr>
                <w:rFonts w:ascii="Times New Roman" w:hAnsi="Times New Roman"/>
                <w:snapToGrid w:val="0"/>
                <w:szCs w:val="24"/>
                <w:lang w:eastAsia="zh-CN"/>
              </w:rPr>
              <w:t>МФУ</w:t>
            </w:r>
            <w:r w:rsidRPr="00702624">
              <w:rPr>
                <w:rFonts w:ascii="Times New Roman" w:hAnsi="Times New Roman"/>
                <w:snapToGrid w:val="0"/>
                <w:szCs w:val="24"/>
                <w:lang w:val="en-US" w:eastAsia="zh-CN"/>
              </w:rPr>
              <w:t xml:space="preserve"> </w:t>
            </w:r>
            <w:hyperlink r:id="rId8" w:history="1">
              <w:r w:rsidRPr="00702624">
                <w:rPr>
                  <w:rFonts w:ascii="Times New Roman" w:hAnsi="Times New Roman"/>
                  <w:snapToGrid w:val="0"/>
                  <w:szCs w:val="24"/>
                  <w:lang w:val="en-US" w:eastAsia="zh-CN"/>
                </w:rPr>
                <w:t xml:space="preserve">Canon </w:t>
              </w:r>
              <w:proofErr w:type="spellStart"/>
              <w:r w:rsidRPr="00702624">
                <w:rPr>
                  <w:rFonts w:ascii="Times New Roman" w:hAnsi="Times New Roman"/>
                  <w:snapToGrid w:val="0"/>
                  <w:szCs w:val="24"/>
                  <w:lang w:val="en-US" w:eastAsia="zh-CN"/>
                </w:rPr>
                <w:t>i</w:t>
              </w:r>
              <w:proofErr w:type="spellEnd"/>
              <w:r w:rsidRPr="00702624">
                <w:rPr>
                  <w:rFonts w:ascii="Times New Roman" w:hAnsi="Times New Roman"/>
                  <w:snapToGrid w:val="0"/>
                  <w:szCs w:val="24"/>
                  <w:lang w:val="en-US" w:eastAsia="zh-CN"/>
                </w:rPr>
                <w:t>-SENSYS MF244dw</w:t>
              </w:r>
            </w:hyperlink>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1</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r w:rsidR="00702624" w:rsidRPr="001C204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702624" w:rsidRDefault="00702624" w:rsidP="00702624">
            <w:pPr>
              <w:jc w:val="center"/>
              <w:rPr>
                <w:color w:val="000000"/>
              </w:rPr>
            </w:pPr>
            <w:r>
              <w:rPr>
                <w:color w:val="000000"/>
                <w:lang w:val="en-US"/>
              </w:rPr>
              <w:t>1</w:t>
            </w:r>
            <w:r>
              <w:rPr>
                <w:color w:val="000000"/>
              </w:rPr>
              <w:t>3</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702624" w:rsidRPr="00F2510B" w:rsidRDefault="00702624" w:rsidP="00A31070">
            <w:pPr>
              <w:spacing w:line="360" w:lineRule="auto"/>
              <w:jc w:val="both"/>
              <w:rPr>
                <w:szCs w:val="24"/>
                <w:lang w:val="en-US" w:eastAsia="zh-CN"/>
              </w:rPr>
            </w:pPr>
            <w:r w:rsidRPr="00F2510B">
              <w:rPr>
                <w:szCs w:val="24"/>
                <w:lang w:eastAsia="zh-CN"/>
              </w:rPr>
              <w:t>МФУ</w:t>
            </w:r>
            <w:r w:rsidRPr="00F2510B">
              <w:rPr>
                <w:szCs w:val="24"/>
                <w:lang w:val="en-US" w:eastAsia="zh-CN"/>
              </w:rPr>
              <w:t xml:space="preserve"> </w:t>
            </w:r>
            <w:r w:rsidRPr="00F2510B">
              <w:rPr>
                <w:szCs w:val="24"/>
                <w:lang w:eastAsia="zh-CN"/>
              </w:rPr>
              <w:t>лазерный</w:t>
            </w:r>
            <w:r w:rsidRPr="00F2510B">
              <w:rPr>
                <w:szCs w:val="24"/>
                <w:lang w:val="en-US" w:eastAsia="zh-CN"/>
              </w:rPr>
              <w:t xml:space="preserve"> HP LaserJet Pro M426dw</w:t>
            </w:r>
          </w:p>
        </w:tc>
        <w:tc>
          <w:tcPr>
            <w:tcW w:w="969" w:type="dxa"/>
            <w:tcBorders>
              <w:top w:val="single" w:sz="4" w:space="0" w:color="auto"/>
              <w:left w:val="nil"/>
              <w:bottom w:val="single" w:sz="4" w:space="0" w:color="auto"/>
              <w:right w:val="single" w:sz="4" w:space="0" w:color="auto"/>
            </w:tcBorders>
            <w:vAlign w:val="center"/>
          </w:tcPr>
          <w:p w:rsidR="00702624" w:rsidRPr="00702624" w:rsidRDefault="00702624" w:rsidP="00E81EE1">
            <w:pPr>
              <w:jc w:val="center"/>
              <w:rPr>
                <w:color w:val="000000"/>
              </w:rPr>
            </w:pPr>
            <w:r>
              <w:rPr>
                <w:color w:val="000000"/>
              </w:rPr>
              <w:t>1</w:t>
            </w:r>
          </w:p>
        </w:tc>
        <w:tc>
          <w:tcPr>
            <w:tcW w:w="1386"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702624" w:rsidRPr="001C2046" w:rsidRDefault="00702624"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624" w:rsidRPr="001C2046" w:rsidRDefault="00702624" w:rsidP="00FA073A">
            <w:pPr>
              <w:jc w:val="center"/>
              <w:rPr>
                <w:color w:val="000000"/>
                <w:lang w:val="en-US"/>
              </w:rPr>
            </w:pPr>
          </w:p>
        </w:tc>
      </w:tr>
    </w:tbl>
    <w:p w:rsidR="00775D49" w:rsidRPr="001C2046" w:rsidRDefault="00775D49" w:rsidP="00775D49">
      <w:pPr>
        <w:jc w:val="center"/>
        <w:outlineLvl w:val="0"/>
        <w:rPr>
          <w:lang w:val="en-US"/>
        </w:rPr>
      </w:pPr>
    </w:p>
    <w:p w:rsidR="003B4981" w:rsidRDefault="009B3572" w:rsidP="0044168A">
      <w:pPr>
        <w:outlineLvl w:val="0"/>
        <w:rPr>
          <w:b/>
        </w:rPr>
      </w:pPr>
      <w:r>
        <w:rPr>
          <w:b/>
        </w:rPr>
        <w:t>Итого</w:t>
      </w:r>
      <w:r w:rsidR="00694713">
        <w:rPr>
          <w:b/>
        </w:rPr>
        <w:t xml:space="preserve">: _______________________________________________________________________, </w:t>
      </w:r>
    </w:p>
    <w:p w:rsidR="002C4E60" w:rsidRPr="00824A1B" w:rsidRDefault="00694713" w:rsidP="00F0337C">
      <w:pPr>
        <w:rPr>
          <w:b/>
        </w:rPr>
      </w:pPr>
      <w:r>
        <w:rPr>
          <w:b/>
        </w:rPr>
        <w:t>в т.ч. НДС 18%</w:t>
      </w:r>
      <w:r w:rsidR="003B4981">
        <w:rPr>
          <w:b/>
        </w:rPr>
        <w:t>________________________________________________________________.</w:t>
      </w:r>
    </w:p>
    <w:p w:rsidR="00F56344" w:rsidRDefault="00F56344" w:rsidP="00F0337C"/>
    <w:p w:rsidR="00824A1B" w:rsidRPr="00824A1B" w:rsidRDefault="00824A1B" w:rsidP="00F0337C"/>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9"/>
      <w:footerReference w:type="even" r:id="rId10"/>
      <w:footerReference w:type="default" r:id="rId11"/>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00" w:rsidRDefault="004B5400">
      <w:r>
        <w:separator/>
      </w:r>
    </w:p>
  </w:endnote>
  <w:endnote w:type="continuationSeparator" w:id="0">
    <w:p w:rsidR="004B5400" w:rsidRDefault="004B5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863A38" w:rsidP="003753E4">
    <w:pPr>
      <w:pStyle w:val="a5"/>
      <w:framePr w:wrap="around" w:vAnchor="text" w:hAnchor="margin" w:xAlign="right" w:y="1"/>
      <w:rPr>
        <w:rStyle w:val="af"/>
      </w:rPr>
    </w:pPr>
    <w:r>
      <w:rPr>
        <w:rStyle w:val="af"/>
      </w:rPr>
      <w:fldChar w:fldCharType="begin"/>
    </w:r>
    <w:r w:rsidR="00045486">
      <w:rPr>
        <w:rStyle w:val="af"/>
      </w:rPr>
      <w:instrText xml:space="preserve">PAGE  </w:instrText>
    </w:r>
    <w:r>
      <w:rPr>
        <w:rStyle w:val="af"/>
      </w:rPr>
      <w:fldChar w:fldCharType="end"/>
    </w:r>
  </w:p>
  <w:p w:rsidR="00045486" w:rsidRDefault="000454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00" w:rsidRDefault="004B5400">
      <w:r>
        <w:separator/>
      </w:r>
    </w:p>
  </w:footnote>
  <w:footnote w:type="continuationSeparator" w:id="0">
    <w:p w:rsidR="004B5400" w:rsidRDefault="004B5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8370"/>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5486"/>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17F"/>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251B"/>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36B5"/>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046"/>
    <w:rsid w:val="001C23FD"/>
    <w:rsid w:val="001C29B4"/>
    <w:rsid w:val="001C3EAB"/>
    <w:rsid w:val="001C4830"/>
    <w:rsid w:val="001C4D48"/>
    <w:rsid w:val="001D2823"/>
    <w:rsid w:val="001D697D"/>
    <w:rsid w:val="001D719E"/>
    <w:rsid w:val="001E1A2D"/>
    <w:rsid w:val="001E211D"/>
    <w:rsid w:val="001E606C"/>
    <w:rsid w:val="001E6D55"/>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6CC"/>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808"/>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67F91"/>
    <w:rsid w:val="003701B5"/>
    <w:rsid w:val="0037226C"/>
    <w:rsid w:val="003741B3"/>
    <w:rsid w:val="00374534"/>
    <w:rsid w:val="003752D0"/>
    <w:rsid w:val="003753E4"/>
    <w:rsid w:val="00377641"/>
    <w:rsid w:val="0037776A"/>
    <w:rsid w:val="00385C03"/>
    <w:rsid w:val="00391D29"/>
    <w:rsid w:val="00391E81"/>
    <w:rsid w:val="0039469B"/>
    <w:rsid w:val="00394EF9"/>
    <w:rsid w:val="003A004E"/>
    <w:rsid w:val="003A0D59"/>
    <w:rsid w:val="003A116B"/>
    <w:rsid w:val="003A12DE"/>
    <w:rsid w:val="003A21BF"/>
    <w:rsid w:val="003A30A6"/>
    <w:rsid w:val="003A32F5"/>
    <w:rsid w:val="003A5AA3"/>
    <w:rsid w:val="003A6624"/>
    <w:rsid w:val="003A6659"/>
    <w:rsid w:val="003A7A37"/>
    <w:rsid w:val="003B09BC"/>
    <w:rsid w:val="003B4981"/>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0C5"/>
    <w:rsid w:val="003F0437"/>
    <w:rsid w:val="003F348F"/>
    <w:rsid w:val="003F595B"/>
    <w:rsid w:val="003F5998"/>
    <w:rsid w:val="003F60D4"/>
    <w:rsid w:val="003F6E7E"/>
    <w:rsid w:val="003F6FD8"/>
    <w:rsid w:val="003F728E"/>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168A"/>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400"/>
    <w:rsid w:val="004B55C5"/>
    <w:rsid w:val="004B623E"/>
    <w:rsid w:val="004B6F80"/>
    <w:rsid w:val="004C196C"/>
    <w:rsid w:val="004C39C6"/>
    <w:rsid w:val="004C77CB"/>
    <w:rsid w:val="004D02C2"/>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21E3"/>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2BE0"/>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DAB"/>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94713"/>
    <w:rsid w:val="00696BA7"/>
    <w:rsid w:val="006A0707"/>
    <w:rsid w:val="006A0C15"/>
    <w:rsid w:val="006A4E62"/>
    <w:rsid w:val="006B0615"/>
    <w:rsid w:val="006B18DD"/>
    <w:rsid w:val="006B6FD8"/>
    <w:rsid w:val="006C09E0"/>
    <w:rsid w:val="006C4A79"/>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624"/>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5C30"/>
    <w:rsid w:val="0075623B"/>
    <w:rsid w:val="00761025"/>
    <w:rsid w:val="00762406"/>
    <w:rsid w:val="00763CFF"/>
    <w:rsid w:val="00764251"/>
    <w:rsid w:val="00764DD3"/>
    <w:rsid w:val="00766CCF"/>
    <w:rsid w:val="0077250A"/>
    <w:rsid w:val="007734F5"/>
    <w:rsid w:val="00773604"/>
    <w:rsid w:val="0077474C"/>
    <w:rsid w:val="00775D49"/>
    <w:rsid w:val="007812E8"/>
    <w:rsid w:val="0078492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3770"/>
    <w:rsid w:val="008146ED"/>
    <w:rsid w:val="008153DF"/>
    <w:rsid w:val="00815E41"/>
    <w:rsid w:val="00820C43"/>
    <w:rsid w:val="00821F1F"/>
    <w:rsid w:val="008244A6"/>
    <w:rsid w:val="008244EF"/>
    <w:rsid w:val="00824760"/>
    <w:rsid w:val="00824A1B"/>
    <w:rsid w:val="00825876"/>
    <w:rsid w:val="00833E82"/>
    <w:rsid w:val="0084187E"/>
    <w:rsid w:val="008423DD"/>
    <w:rsid w:val="00850371"/>
    <w:rsid w:val="008504FD"/>
    <w:rsid w:val="00850AF6"/>
    <w:rsid w:val="008554FC"/>
    <w:rsid w:val="00855789"/>
    <w:rsid w:val="008565AF"/>
    <w:rsid w:val="00856AA2"/>
    <w:rsid w:val="008571D2"/>
    <w:rsid w:val="008628AC"/>
    <w:rsid w:val="00862BDE"/>
    <w:rsid w:val="00863A38"/>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9F7814"/>
    <w:rsid w:val="00A007F0"/>
    <w:rsid w:val="00A00C8A"/>
    <w:rsid w:val="00A02D95"/>
    <w:rsid w:val="00A03B8E"/>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6D36"/>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5A9A"/>
    <w:rsid w:val="00BD7A8A"/>
    <w:rsid w:val="00BE0712"/>
    <w:rsid w:val="00BE3256"/>
    <w:rsid w:val="00BE3C8C"/>
    <w:rsid w:val="00BE4770"/>
    <w:rsid w:val="00BE6E98"/>
    <w:rsid w:val="00BF55BC"/>
    <w:rsid w:val="00BF59BD"/>
    <w:rsid w:val="00BF5A30"/>
    <w:rsid w:val="00BF743A"/>
    <w:rsid w:val="00BF7F39"/>
    <w:rsid w:val="00C0159C"/>
    <w:rsid w:val="00C04458"/>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236D"/>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488D"/>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9B6"/>
    <w:rsid w:val="00D96EFF"/>
    <w:rsid w:val="00DA4E98"/>
    <w:rsid w:val="00DA6E8F"/>
    <w:rsid w:val="00DA738F"/>
    <w:rsid w:val="00DB0ED5"/>
    <w:rsid w:val="00DB13D0"/>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665"/>
    <w:rsid w:val="00F97D09"/>
    <w:rsid w:val="00FA2187"/>
    <w:rsid w:val="00FA43B7"/>
    <w:rsid w:val="00FA59C3"/>
    <w:rsid w:val="00FB050D"/>
    <w:rsid w:val="00FB156B"/>
    <w:rsid w:val="00FB43D1"/>
    <w:rsid w:val="00FC2208"/>
    <w:rsid w:val="00FC38B0"/>
    <w:rsid w:val="00FC52FF"/>
    <w:rsid w:val="00FC7D0D"/>
    <w:rsid w:val="00FD0CF9"/>
    <w:rsid w:val="00FD290D"/>
    <w:rsid w:val="00FD2A63"/>
    <w:rsid w:val="00FD5386"/>
    <w:rsid w:val="00FE05C0"/>
    <w:rsid w:val="00FE197C"/>
    <w:rsid w:val="00FE1B7E"/>
    <w:rsid w:val="00FE2ED2"/>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paragraph" w:customStyle="1" w:styleId="ConsNonformat">
    <w:name w:val="ConsNonformat"/>
    <w:rsid w:val="00702624"/>
    <w:pPr>
      <w:autoSpaceDE w:val="0"/>
      <w:autoSpaceDN w:val="0"/>
      <w:adjustRightInd w:val="0"/>
    </w:pPr>
    <w:rPr>
      <w:rFonts w:ascii="Consultant" w:hAnsi="Consultant"/>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product/1713291965?nid=545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vosibirsk.e2e4online.ru/catalog2/Komplektuyuschie/Kulery_i_sistemy_ohlazhdeniya/Dlya_protsessorov/Kuler_CoolerMaster_CP6-9HDSA-PL-GP_for_Socket1156_1150_1151_1155_16-46.5dB_800-4200rpm_4-pin_Cu_Al_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65</cp:revision>
  <cp:lastPrinted>2017-01-11T05:37:00Z</cp:lastPrinted>
  <dcterms:created xsi:type="dcterms:W3CDTF">2017-02-01T04:58:00Z</dcterms:created>
  <dcterms:modified xsi:type="dcterms:W3CDTF">2017-10-09T03:44:00Z</dcterms:modified>
</cp:coreProperties>
</file>